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000000" w:themeColor="text1"/>
          <w:sz w:val="32"/>
          <w:szCs w:val="32"/>
          <w:lang w:bidi="ar"/>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阿克陶</w:t>
      </w:r>
      <w:r>
        <w:rPr>
          <w:rFonts w:hint="eastAsia" w:ascii="方正小标宋简体" w:hAnsi="方正小标宋简体" w:eastAsia="方正小标宋简体" w:cs="方正小标宋简体"/>
          <w:b/>
          <w:color w:val="000000" w:themeColor="text1"/>
          <w:kern w:val="0"/>
          <w:sz w:val="44"/>
          <w:szCs w:val="44"/>
          <w:lang w:eastAsia="zh-Hans"/>
          <w14:textFill>
            <w14:solidFill>
              <w14:schemeClr w14:val="tx1"/>
            </w14:solidFill>
          </w14:textFill>
        </w:rPr>
        <w:t>县</w:t>
      </w: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部门单位整体支出绩效</w:t>
      </w: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自评报告</w:t>
      </w: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2021  年度）</w:t>
      </w: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color w:val="000000" w:themeColor="text1"/>
          <w:kern w:val="0"/>
          <w:sz w:val="32"/>
          <w:szCs w:val="32"/>
          <w14:textFill>
            <w14:solidFill>
              <w14:schemeClr w14:val="tx1"/>
            </w14:solidFill>
          </w14:textFill>
        </w:rPr>
      </w:pP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部门单位名称（公章）：阿克陶县环境卫生服务中心</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填报时间：2022年3月19日</w:t>
      </w: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p>
    <w:p>
      <w:pPr>
        <w:pStyle w:val="2"/>
      </w:pP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0" w:name="_Toc2394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基本概况</w:t>
      </w:r>
      <w:bookmarkEnd w:id="0"/>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（一）单位基本情况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1.部门主要职能</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阿克陶县环境卫生服务中心主要职责： 为维护城市环境卫生提供监督检查保障,城市环境卫生设施建设,运营与维护,城市环境卫生监督及辖区内公安交通管理,城市辖区内工商管理,城市环境卫生作业管理。</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2.部门机构设置及人员构成</w:t>
      </w:r>
    </w:p>
    <w:p>
      <w:pPr>
        <w:widowControl/>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阿克陶县市容环境卫生管理局无下属预算单位，下设4个处室，分别是：办公室，财务室，绿化队，垃圾处理办公室。</w:t>
      </w:r>
    </w:p>
    <w:p>
      <w:pPr>
        <w:widowControl/>
        <w:jc w:val="left"/>
        <w:rPr>
          <w:rFonts w:ascii="仿宋_GB2312" w:hAnsi="仿宋_GB2312" w:eastAsia="仿宋_GB2312" w:cs="仿宋_GB2312"/>
          <w:color w:val="000000"/>
          <w:kern w:val="0"/>
          <w:sz w:val="31"/>
          <w:szCs w:val="31"/>
        </w:rPr>
      </w:pPr>
      <w:r>
        <w:rPr>
          <w:rFonts w:hint="eastAsia" w:ascii="仿宋_GB2312" w:hAnsi="仿宋_GB2312" w:eastAsia="仿宋_GB2312" w:cs="仿宋_GB2312"/>
          <w:color w:val="000000"/>
          <w:kern w:val="0"/>
          <w:sz w:val="31"/>
          <w:szCs w:val="31"/>
        </w:rPr>
        <w:t xml:space="preserve">阿克陶县市容环境卫生管理局编制数12人，实有人数58人，其中：在职26人，无增加减少人；退休32；离休0人，增加0人。  </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3.年度重点工作</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一是强化干部学习教育，持续聚焦总目标。</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二是持续开展群众工作、做好群众的困难帮扶。</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三是完善平台建设，努力提升服务水平。</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四是持续抓好作风建设，遵守各项党规党纪。</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（二）决策过程</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决策机制根据行政事业单位内部控制体系建设相关要求，逐步完善《阿克陶县环境卫生服务中心党支部会议》、《三重一大会议制度》，根据制度规定；凡涉及到单位改革、发展和稳定关系工作人员切身利益的重大问题，均属于重大事项决策的范围；重要人事任免：后备干部推荐、</w:t>
      </w:r>
      <w:r>
        <w:rPr>
          <w:rStyle w:val="9"/>
          <w:rFonts w:hint="eastAsia" w:ascii="仿宋_GB2312" w:hAnsi="仿宋_GB2312" w:eastAsia="仿宋_GB2312" w:cs="仿宋_GB2312"/>
          <w:b w:val="0"/>
          <w:color w:val="000000" w:themeColor="text1"/>
          <w:sz w:val="32"/>
          <w:szCs w:val="32"/>
          <w:lang w:eastAsia="zh-CN" w:bidi="ar"/>
          <w14:textFill>
            <w14:solidFill>
              <w14:schemeClr w14:val="tx1"/>
            </w14:solidFill>
          </w14:textFill>
        </w:rPr>
        <w:t>选拔</w:t>
      </w:r>
      <w:bookmarkStart w:id="8" w:name="_GoBack"/>
      <w:bookmarkEnd w:id="8"/>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；领导班子工作分工。重要项目安排：大宗办公物资及设备采购等；上级批准的重大或集体考察学习活动项目经费支出。都需进行单位事项决策。</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（三）项目资金分配</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1.部门（单位）预算编制及分配依据</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根据财政部门预算编制的相关文件、通知，实行“二上二下”的基本流程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2.分配结果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eastAsia="zh-Hans"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我单位资金分配与绩效目标一致，符合绩效目标合理性。</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3.重点支出保障率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本年度1个重点项目支出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我单位本年主要实施1个重点项目，履行了办公楼维修主要职责。</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本年度预算安排的重点项目支出</w:t>
      </w:r>
      <w:r>
        <w:rPr>
          <w:rStyle w:val="9"/>
          <w:rFonts w:ascii="仿宋_GB2312" w:hAnsi="仿宋_GB2312" w:eastAsia="仿宋_GB2312" w:cs="仿宋_GB2312"/>
          <w:b w:val="0"/>
          <w:color w:val="000000" w:themeColor="text1"/>
          <w:sz w:val="32"/>
          <w:szCs w:val="32"/>
          <w:lang w:bidi="ar"/>
          <w14:textFill>
            <w14:solidFill>
              <w14:schemeClr w14:val="tx1"/>
            </w14:solidFill>
          </w14:textFill>
        </w:rPr>
        <w:t>50</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万元，项目总支出</w:t>
      </w:r>
      <w:r>
        <w:rPr>
          <w:rStyle w:val="9"/>
          <w:rFonts w:ascii="仿宋_GB2312" w:hAnsi="仿宋_GB2312" w:eastAsia="仿宋_GB2312" w:cs="仿宋_GB2312"/>
          <w:b w:val="0"/>
          <w:color w:val="000000" w:themeColor="text1"/>
          <w:sz w:val="32"/>
          <w:szCs w:val="32"/>
          <w:lang w:bidi="ar"/>
          <w14:textFill>
            <w14:solidFill>
              <w14:schemeClr w14:val="tx1"/>
            </w14:solidFill>
          </w14:textFill>
        </w:rPr>
        <w:t>148.46</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万元，重点支出保障率为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33.67</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（四）部门单位整体支出规模</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（1）年初预算执行情况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我单位年初预算数为637.25万元，实际预算执行数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567.51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万元，预算执行率为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89</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 xml:space="preserve">%。                                                                                                                                                                                                                                                                       </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（2）全年预算执行情况</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全年预算数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683.36</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万元，全年实际支出资金</w:t>
      </w:r>
      <w:r>
        <w:rPr>
          <w:rStyle w:val="9"/>
          <w:rFonts w:ascii="仿宋_GB2312" w:hAnsi="仿宋_GB2312" w:eastAsia="仿宋_GB2312" w:cs="仿宋_GB2312"/>
          <w:b w:val="0"/>
          <w:color w:val="000000" w:themeColor="text1"/>
          <w:sz w:val="32"/>
          <w:szCs w:val="32"/>
          <w:lang w:bidi="ar"/>
          <w14:textFill>
            <w14:solidFill>
              <w14:schemeClr w14:val="tx1"/>
            </w14:solidFill>
          </w14:textFill>
        </w:rPr>
        <w:t>683.36</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万元，预算执行率为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2.预算调整情况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我单位年初批复预算数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637.25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万元，年中调整数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46.11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万元，调整后全年预算数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683.36</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万元，预算调整率</w:t>
      </w:r>
      <w:r>
        <w:rPr>
          <w:rStyle w:val="9"/>
          <w:rFonts w:ascii="仿宋_GB2312" w:hAnsi="仿宋_GB2312" w:eastAsia="仿宋_GB2312" w:cs="仿宋_GB2312"/>
          <w:b w:val="0"/>
          <w:color w:val="000000" w:themeColor="text1"/>
          <w:sz w:val="32"/>
          <w:szCs w:val="32"/>
          <w:lang w:bidi="ar"/>
          <w14:textFill>
            <w14:solidFill>
              <w14:schemeClr w14:val="tx1"/>
            </w14:solidFill>
          </w14:textFill>
        </w:rPr>
        <w:t>7.23</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 xml:space="preserve">3.政府采购执行情况 </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我单位本年度需政府采购的预算数为0万元。</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（五）评价使用方法和主要内容、涉及范围</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1.评价使用方法</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bookmarkStart w:id="1" w:name="_Hlk49856735"/>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本次评价主要采取比较法和调查法。一是比较法。对项目支出情况及建设后的产出及效果与项目实施计划目标进行比较，分析预计目标的完成程度。二是</w:t>
      </w:r>
      <w:r>
        <w:rPr>
          <w:rStyle w:val="9"/>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公众评判法</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2.评价对象及主要内容</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评价的对象及主要内容为: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部门单位整体管理及使用情况，具体涉及预算管理、基本支出和专项支出的管理及使用情况；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部门单位专项组织实施情况，具体涉及专项组织情况分析和相关管理情况；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资产管理情况，具体涉及资产管理规范性和资产变动情况。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3.涉及的范围</w:t>
      </w:r>
      <w:bookmarkEnd w:id="1"/>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2" w:name="_Toc3253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部门单位整体支出管理及使用情况</w:t>
      </w:r>
      <w:bookmarkEnd w:id="2"/>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（一）预算管理情况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1.管理制度健全性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阿克陶县环境卫生服务中心部门单位预算绩效管理工作实施办法》，《阿克陶县环境卫生服务中心财务管理制度》等健全完整的各项管理制度，有效保障了我单位高效的履行工作职能，较好的促进事业发展。</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2.资金使用合规性和安全性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3.预决算信息公开性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（二）基本支出和使用情况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1.基本支出和使用情况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2021年本单位基本支出全年预算总额</w:t>
      </w:r>
      <w:r>
        <w:rPr>
          <w:rStyle w:val="9"/>
          <w:rFonts w:ascii="仿宋_GB2312" w:hAnsi="仿宋_GB2312" w:eastAsia="仿宋_GB2312" w:cs="仿宋_GB2312"/>
          <w:b w:val="0"/>
          <w:color w:val="000000" w:themeColor="text1"/>
          <w:sz w:val="32"/>
          <w:szCs w:val="32"/>
          <w:lang w:bidi="ar"/>
          <w14:textFill>
            <w14:solidFill>
              <w14:schemeClr w14:val="tx1"/>
            </w14:solidFill>
          </w14:textFill>
        </w:rPr>
        <w:t>683.36</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万元，其中：人员经费</w:t>
      </w:r>
      <w:r>
        <w:rPr>
          <w:rFonts w:ascii="仿宋_GB2312" w:hAnsi="宋体" w:eastAsia="仿宋_GB2312" w:cs="宋体"/>
          <w:color w:val="000000" w:themeColor="text1"/>
          <w:kern w:val="0"/>
          <w:sz w:val="32"/>
          <w:szCs w:val="32"/>
          <w14:textFill>
            <w14:solidFill>
              <w14:schemeClr w14:val="tx1"/>
            </w14:solidFill>
          </w14:textFill>
        </w:rPr>
        <w:t>547.1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万元，公用经费</w:t>
      </w:r>
      <w:r>
        <w:rPr>
          <w:rFonts w:ascii="仿宋_GB2312" w:hAnsi="宋体" w:eastAsia="仿宋_GB2312" w:cs="宋体"/>
          <w:color w:val="000000" w:themeColor="text1"/>
          <w:kern w:val="0"/>
          <w:sz w:val="32"/>
          <w:szCs w:val="32"/>
          <w14:textFill>
            <w14:solidFill>
              <w14:schemeClr w14:val="tx1"/>
            </w14:solidFill>
          </w14:textFill>
        </w:rPr>
        <w:t>136.26</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万元。实际支出</w:t>
      </w:r>
      <w:r>
        <w:rPr>
          <w:rStyle w:val="9"/>
          <w:rFonts w:ascii="仿宋_GB2312" w:hAnsi="仿宋_GB2312" w:eastAsia="仿宋_GB2312" w:cs="仿宋_GB2312"/>
          <w:b w:val="0"/>
          <w:color w:val="000000" w:themeColor="text1"/>
          <w:sz w:val="32"/>
          <w:szCs w:val="32"/>
          <w:lang w:bidi="ar"/>
          <w14:textFill>
            <w14:solidFill>
              <w14:schemeClr w14:val="tx1"/>
            </w14:solidFill>
          </w14:textFill>
        </w:rPr>
        <w:t>683.36</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万元，基本支出预算执行率100%。</w:t>
      </w:r>
    </w:p>
    <w:p>
      <w:pPr>
        <w:pStyle w:val="12"/>
        <w:snapToGrid w:val="0"/>
        <w:spacing w:line="540" w:lineRule="exact"/>
        <w:ind w:firstLine="640"/>
        <w:rPr>
          <w:rStyle w:val="9"/>
          <w:rFonts w:ascii="仿宋_GB2312" w:hAnsi="仿宋_GB2312" w:eastAsia="仿宋_GB2312" w:cs="仿宋_GB2312"/>
          <w:b w:val="0"/>
          <w:color w:val="000000" w:themeColor="text1"/>
          <w:sz w:val="32"/>
          <w:szCs w:val="32"/>
          <w:highlight w:val="yellow"/>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2.三公经费控制情况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我单位坚决贯彻落实中央、自治区、阿克陶</w:t>
      </w:r>
      <w:r>
        <w:rPr>
          <w:rFonts w:hint="eastAsia" w:ascii="仿宋" w:hAnsi="仿宋" w:eastAsia="仿宋" w:cs="宋体"/>
          <w:bCs/>
          <w:color w:val="000000" w:themeColor="text1"/>
          <w:sz w:val="32"/>
          <w:szCs w:val="32"/>
          <w:lang w:eastAsia="zh-Hans" w:bidi="ar"/>
          <w14:textFill>
            <w14:solidFill>
              <w14:schemeClr w14:val="tx1"/>
            </w14:solidFill>
          </w14:textFill>
        </w:rPr>
        <w:t>县</w:t>
      </w:r>
      <w:r>
        <w:rPr>
          <w:rFonts w:hint="eastAsia" w:ascii="仿宋" w:hAnsi="仿宋" w:eastAsia="仿宋" w:cs="宋体"/>
          <w:bCs/>
          <w:color w:val="000000" w:themeColor="text1"/>
          <w:sz w:val="32"/>
          <w:szCs w:val="32"/>
          <w:lang w:bidi="ar"/>
          <w14:textFill>
            <w14:solidFill>
              <w14:schemeClr w14:val="tx1"/>
            </w14:solidFill>
          </w14:textFill>
        </w:rPr>
        <w:t>厉行勤俭办公的工作要求，提倡本单位全体干部职工，勤俭节约，切实降低行政运行成本，确保每年“三公经费”只减不增。2021年“三公经费”预算为62.35万元，实际支出62.35万元，“三公经费”控制率为100%，其中：因公出国（境）费预算为0万元，实际支出0万元；公务接待费预算为0万元，实际支出0万元；公务用车购置费预算为0万元，实际支出0万元；公务用车运行维护费预算为62.35万元，实际支出62.35万元，公务用车运行维护费控制率100%，符合财政部门本年预算要求和相关管理制度要求。</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（三）专项支出管理和使用情况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2021年本单位安排专项支出预算总额216.6万元，实际支出131.6万元，专项支出预算执行率</w:t>
      </w:r>
      <w:r>
        <w:rPr>
          <w:rStyle w:val="9"/>
          <w:rFonts w:ascii="仿宋_GB2312" w:hAnsi="仿宋_GB2312" w:eastAsia="仿宋_GB2312" w:cs="仿宋_GB2312"/>
          <w:b w:val="0"/>
          <w:color w:val="000000" w:themeColor="text1"/>
          <w:sz w:val="32"/>
          <w:szCs w:val="32"/>
          <w:lang w:bidi="ar"/>
          <w14:textFill>
            <w14:solidFill>
              <w14:schemeClr w14:val="tx1"/>
            </w14:solidFill>
          </w14:textFill>
        </w:rPr>
        <w:t>60.75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0"/>
        <w:rPr>
          <w:rFonts w:ascii="仿宋_GB2312" w:hAnsi="仿宋_GB2312" w:eastAsia="仿宋_GB2312" w:cs="仿宋_GB2312"/>
          <w:b/>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2021年本单位共有4个资金项目，其中1个市政维护绿化费，白山湖环卫工人工资，车辆燃油费，</w:t>
      </w:r>
      <w:bookmarkStart w:id="3" w:name="_Toc1734_WPSOffice_Level1"/>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城市绿化用水</w:t>
      </w:r>
      <w:r>
        <w:rPr>
          <w:rFonts w:hint="eastAsia" w:ascii="仿宋_GB2312" w:hAnsi="仿宋_GB2312" w:eastAsia="仿宋_GB2312" w:cs="仿宋_GB2312"/>
          <w:b/>
          <w:color w:val="000000" w:themeColor="text1"/>
          <w:sz w:val="32"/>
          <w:szCs w:val="32"/>
          <w:lang w:bidi="ar"/>
          <w14:textFill>
            <w14:solidFill>
              <w14:schemeClr w14:val="tx1"/>
            </w14:solidFill>
          </w14:textFill>
        </w:rPr>
        <w:t>、</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已完成的2个，未完成2个。</w:t>
      </w:r>
    </w:p>
    <w:p>
      <w:pPr>
        <w:pStyle w:val="12"/>
        <w:snapToGrid w:val="0"/>
        <w:spacing w:line="540" w:lineRule="exact"/>
        <w:ind w:firstLine="0" w:firstLineChars="0"/>
        <w:rPr>
          <w:rFonts w:ascii="仿宋_GB2312" w:hAnsi="仿宋_GB2312" w:eastAsia="仿宋_GB2312" w:cs="仿宋_GB2312"/>
          <w:b/>
          <w:color w:val="000000" w:themeColor="text1"/>
          <w:sz w:val="32"/>
          <w:szCs w:val="32"/>
          <w:lang w:bidi="ar"/>
          <w14:textFill>
            <w14:solidFill>
              <w14:schemeClr w14:val="tx1"/>
            </w14:solidFill>
          </w14:textFill>
        </w:rPr>
      </w:pPr>
      <w:r>
        <w:rPr>
          <w:rFonts w:hint="eastAsia" w:ascii="仿宋_GB2312" w:hAnsi="仿宋_GB2312" w:eastAsia="仿宋_GB2312" w:cs="仿宋_GB2312"/>
          <w:b/>
          <w:color w:val="000000" w:themeColor="text1"/>
          <w:sz w:val="32"/>
          <w:szCs w:val="32"/>
          <w:lang w:bidi="ar"/>
          <w14:textFill>
            <w14:solidFill>
              <w14:schemeClr w14:val="tx1"/>
            </w14:solidFill>
          </w14:textFill>
        </w:rPr>
        <w:t>部门单位专项组织实施情况</w:t>
      </w:r>
      <w:bookmarkEnd w:id="3"/>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4个以内的项目分项说明：本年我单位供实施4个项目，金额216.6万元，市政维护绿化费45万元，白山湖环卫工人工资81.6万元，车辆燃油费50万元， 城市绿化用水40万元。</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（一）</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市政维护绿化费</w:t>
      </w: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毛海朝评价组组长，绩效评价工作职责为负责全盘工作。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阿力木江评价组副组长，绩效评价工作职责为为对项目实施情况进行实地调查。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吐逊努尔，图尔迪拜克，麦麦提艾力，海力古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（二）</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市政维护绿化费</w:t>
      </w: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项目专项组织情况分析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毛海朝评价组组长，绩效评价工作职责为负责全盘工作。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阿力木江评价组副组长，绩效评价工作职责为为对项目实施情况进行实地调查。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吐逊努尔，图尔迪拜克，麦麦提艾力，海力古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outlineLvl w:val="1"/>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（三）</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车辆燃油费</w:t>
      </w: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毛海朝评价组组长，绩效评价工作职责为负责全盘工作。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阿力木江评价组副组长，绩效评价工作职责为为对项目实施情况进行实地调查。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吐逊努尔，图尔迪拜克，麦麦提艾力，海力古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（二）</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城市绿化用水</w:t>
      </w: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项目专项组织情况分析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毛海朝评价组组长，绩效评价工作职责为负责全盘工作。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阿力木江评价组副组长，绩效评价工作职责为为对项目实施情况进行实地调查。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吐逊努尔，图尔迪拜克，麦麦提艾力，海力古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（二）专项管理情况分析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1.项目资金情况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该项目预算资金216.6万元，实际到位216.6万元，实际支出131.6万元。到位足额及时，预算编制依据充分，预算编制准确，资金不存在截留、挪用，支付审批合规、不存在用途改变、范围超支和虚列项目支出等情况；本项目严格按照《阿克陶县环境卫生服务中心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项目组织情况：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项目管理情况：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项目监管情况：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3.项目绩效情况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成本控制情况：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严格按照相关的专项资金管理办法，实行多重审批控制专项经费的支出。</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成本节约情况：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4.项目效率性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项目实施进度：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项目完成质量：</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项目严格按照年度预期目标执行，项目完成质量达标。</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5.项目效益性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预期目标完成程度：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项目实施对效益的影响：</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4" w:name="_Toc278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资产管理情况</w:t>
      </w:r>
      <w:bookmarkEnd w:id="4"/>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（一）资产管理规范性</w:t>
      </w:r>
    </w:p>
    <w:p>
      <w:pPr>
        <w:snapToGrid w:val="0"/>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sz w:val="32"/>
          <w:szCs w:val="32"/>
        </w:rPr>
        <w:t>年末单位资产总额为301.62万元，与上年相比增加35.01万元，增加率172.57%，增加的主要原因是医疗保险基数，住房公积金基数增加。</w:t>
      </w:r>
    </w:p>
    <w:p>
      <w:pPr>
        <w:snapToGrid w:val="0"/>
        <w:spacing w:line="520" w:lineRule="exact"/>
        <w:ind w:firstLine="640" w:firstLineChars="200"/>
        <w:rPr>
          <w:rFonts w:ascii="仿宋_GB2312" w:hAnsi="仿宋" w:eastAsia="仿宋_GB2312" w:cs="Times New Roman"/>
          <w:sz w:val="32"/>
          <w:szCs w:val="32"/>
        </w:rPr>
      </w:pPr>
      <w:r>
        <w:rPr>
          <w:rFonts w:hint="eastAsia" w:ascii="仿宋" w:hAnsi="仿宋" w:eastAsia="仿宋" w:cs="宋体"/>
          <w:bCs/>
          <w:color w:val="000000" w:themeColor="text1"/>
          <w:sz w:val="32"/>
          <w:szCs w:val="32"/>
          <w:lang w:bidi="ar"/>
          <w14:textFill>
            <w14:solidFill>
              <w14:schemeClr w14:val="tx1"/>
            </w14:solidFill>
          </w14:textFill>
        </w:rPr>
        <w:t>货币资金增加，其中：</w:t>
      </w:r>
      <w:r>
        <w:rPr>
          <w:rFonts w:hint="eastAsia" w:ascii="仿宋_GB2312" w:hAnsi="仿宋" w:eastAsia="仿宋_GB2312"/>
          <w:sz w:val="32"/>
          <w:szCs w:val="32"/>
        </w:rPr>
        <w:t>资产负债表中的资产总额为301.62万元，其中固定资产246.33万元，占资产总额的81.67%，与上年度相比固定资产原值一致，无增减变动。银行存款55.29万元，占资产总额的18.33%，与上年相比增加35.01万元，增加率172.57%，增加的主要原因是</w:t>
      </w:r>
      <w:r>
        <w:rPr>
          <w:rFonts w:hint="eastAsia" w:ascii="仿宋_GB2312" w:hAnsi="仿宋" w:eastAsia="仿宋_GB2312" w:cs="Times New Roman"/>
          <w:sz w:val="32"/>
          <w:szCs w:val="32"/>
        </w:rPr>
        <w:t>垃圾费增加。</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1.资产管理情况。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2.固定资产利用情况。</w:t>
      </w:r>
    </w:p>
    <w:p>
      <w:pPr>
        <w:snapToGrid w:val="0"/>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sz w:val="32"/>
          <w:szCs w:val="32"/>
        </w:rPr>
        <w:t>资产负债表中资产总额本年度增加，2021年度年末资产总额为301.62万元，与上年相比增加35.01万元，增加率172.57%，增加的主要原因是</w:t>
      </w:r>
      <w:r>
        <w:rPr>
          <w:rFonts w:hint="eastAsia" w:ascii="仿宋_GB2312" w:hAnsi="仿宋" w:eastAsia="仿宋_GB2312" w:cs="Times New Roman"/>
          <w:sz w:val="32"/>
          <w:szCs w:val="32"/>
        </w:rPr>
        <w:t>垃圾费增加。</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3.流动资产管理情况。</w:t>
      </w:r>
    </w:p>
    <w:p>
      <w:pPr>
        <w:pStyle w:val="12"/>
        <w:snapToGrid w:val="0"/>
        <w:spacing w:line="540" w:lineRule="exact"/>
        <w:ind w:firstLine="624"/>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（二）固定资产利用率</w:t>
      </w:r>
    </w:p>
    <w:p>
      <w:pPr>
        <w:pStyle w:val="12"/>
        <w:tabs>
          <w:tab w:val="left" w:pos="0"/>
        </w:tabs>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截止本年度固定资产账面净值249.38万元，年末实际在用固定资产249.38万元，固定资产利用率为100%。</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5" w:name="_Toc13582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部门单位整体支出绩效情况</w:t>
      </w:r>
      <w:bookmarkEnd w:id="5"/>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部门单位整体支出自评表，共设置一级指标3个，二级指标9个，三级指标20个。</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（一）产出指标完成情况分析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1.产出数量</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保障人员人数指标，预期指标是等于</w:t>
      </w:r>
      <w:r>
        <w:rPr>
          <w:rFonts w:hint="eastAsia" w:ascii="仿宋" w:hAnsi="仿宋" w:eastAsia="仿宋" w:cs="宋体"/>
          <w:bCs/>
          <w:color w:val="000000" w:themeColor="text1"/>
          <w:sz w:val="32"/>
          <w:szCs w:val="32"/>
          <w:lang w:bidi="ar"/>
          <w14:textFill>
            <w14:solidFill>
              <w14:schemeClr w14:val="tx1"/>
            </w14:solidFill>
          </w14:textFill>
        </w:rPr>
        <w:t>58</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人，实际完成值是</w:t>
      </w:r>
      <w:r>
        <w:rPr>
          <w:rFonts w:hint="eastAsia" w:ascii="仿宋" w:hAnsi="仿宋" w:eastAsia="仿宋" w:cs="宋体"/>
          <w:bCs/>
          <w:color w:val="000000" w:themeColor="text1"/>
          <w:sz w:val="32"/>
          <w:szCs w:val="32"/>
          <w:lang w:bidi="ar"/>
          <w14:textFill>
            <w14:solidFill>
              <w14:schemeClr w14:val="tx1"/>
            </w14:solidFill>
          </w14:textFill>
        </w:rPr>
        <w:t>58</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人，指标完成率是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保障环卫工人数量数指标，预期指标等于50（人），实际完成值是50，指标完成率是100%，未达到预期目标。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保障车辆数（辆）数指标，预期指标是等于</w:t>
      </w:r>
      <w:r>
        <w:rPr>
          <w:rFonts w:hint="eastAsia" w:ascii="仿宋" w:hAnsi="仿宋" w:eastAsia="仿宋" w:cs="宋体"/>
          <w:bCs/>
          <w:color w:val="000000" w:themeColor="text1"/>
          <w:sz w:val="32"/>
          <w:szCs w:val="32"/>
          <w:lang w:bidi="ar"/>
          <w14:textFill>
            <w14:solidFill>
              <w14:schemeClr w14:val="tx1"/>
            </w14:solidFill>
          </w14:textFill>
        </w:rPr>
        <w:t>14</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辆，实际完成值是14辆，指标完成率是100%，达到预期目标。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保障城市绿化用水覆盖面积（万平方米批量指标，预期指标等于150平方，实际完成值是150平方，指标完成率是100%，达到预期目标。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保障绿化材料购买批次：预期完成指标值：</w:t>
      </w:r>
      <w:r>
        <w:rPr>
          <w:rFonts w:hint="eastAsia" w:ascii="仿宋" w:hAnsi="仿宋" w:eastAsia="仿宋" w:cs="宋体"/>
          <w:bCs/>
          <w:color w:val="000000" w:themeColor="text1"/>
          <w:sz w:val="32"/>
          <w:szCs w:val="32"/>
          <w:lang w:bidi="ar"/>
          <w14:textFill>
            <w14:solidFill>
              <w14:schemeClr w14:val="tx1"/>
            </w14:solidFill>
          </w14:textFill>
        </w:rPr>
        <w:t>10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，实际完成指标值为10，指标完成率：100%</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保障单位车辆加油次数（次/年）：预期完成指标值：14实际完成指标值为14，指标完成率：100%</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数量指标共计</w:t>
      </w:r>
      <w:r>
        <w:rPr>
          <w:rFonts w:ascii="仿宋" w:hAnsi="仿宋" w:eastAsia="仿宋" w:cs="宋体"/>
          <w:sz w:val="32"/>
          <w:szCs w:val="32"/>
          <w:lang w:bidi="ar"/>
        </w:rPr>
        <w:t>6</w:t>
      </w:r>
      <w:r>
        <w:rPr>
          <w:rStyle w:val="9"/>
          <w:rFonts w:hint="eastAsia" w:ascii="仿宋_GB2312" w:hAnsi="仿宋_GB2312" w:eastAsia="仿宋_GB2312" w:cs="仿宋_GB2312"/>
          <w:b w:val="0"/>
          <w:bCs w:val="0"/>
          <w:spacing w:val="-4"/>
          <w:sz w:val="32"/>
          <w:szCs w:val="32"/>
        </w:rPr>
        <w:t>个，完成</w:t>
      </w:r>
      <w:r>
        <w:rPr>
          <w:rFonts w:ascii="仿宋" w:hAnsi="仿宋" w:eastAsia="仿宋" w:cs="宋体"/>
          <w:sz w:val="32"/>
          <w:szCs w:val="32"/>
          <w:lang w:bidi="ar"/>
        </w:rPr>
        <w:t>6</w:t>
      </w:r>
      <w:r>
        <w:rPr>
          <w:rStyle w:val="9"/>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2.产出质量</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环境卫生服务中心清洁及时率(%)指标，预期指标是等于</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%。指标完成率是100%，达到质量提升及标准。</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资金使用合规率（%），预期指标是等于</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%。指标完成率是100%，达到质量提升及标准。</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质量指标共计</w:t>
      </w:r>
      <w:r>
        <w:rPr>
          <w:rFonts w:hint="eastAsia" w:ascii="仿宋" w:hAnsi="仿宋" w:eastAsia="仿宋" w:cs="宋体"/>
          <w:bCs/>
          <w:color w:val="000000" w:themeColor="text1"/>
          <w:sz w:val="32"/>
          <w:szCs w:val="32"/>
          <w:lang w:bidi="ar"/>
          <w14:textFill>
            <w14:solidFill>
              <w14:schemeClr w14:val="tx1"/>
            </w14:solidFill>
          </w14:textFill>
        </w:rPr>
        <w:t>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个，达到质量提升及标准。质量指标完成。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3.产出进度</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工资发放及时率（%）指标，预期指标是等于100%，实际完成值是100%，指标完成率是100%，达到预期目标。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4.产出成本</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单位在职人员工资（万元）指标，预期指标是等于401.97万元，实际完成值是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401.97</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万元，指标完成率是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白山湖环卫工人工资（万元）指标，预期指标是等于</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81.6</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万元，实际完成值是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81.6</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万元，指标完成率是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城市绿化材料费（万元）指标，预期指标是等于</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45</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万元，实际完成值是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15.26</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万元，指标完成率是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40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%，达到成本控制及改善目标。偏差原因：由于年底轧帐比较早，来不及支出。改进措施：加强支出管理意识，完成项目以后及时支出。</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城市绿化用水（万元）指标，预期指标是等于</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40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万元，实际完成值是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万元，指标完成率是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%，达到成本控制及改善目标。偏差原因：由于年底轧帐比较早，来不及支出。改进措施：加强支出管理意识，完成项目以后及时支出。</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车辆燃油费（万元）指标，预期指标是等于</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50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万元，实际完成值是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50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万元，指标完成率是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公用经费（万元）指标，预期指标是等于</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18.68</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万元，实际完成值是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18.68</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万元，指标完成率是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%，达到成本控制及改善目标。</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成本指标共计</w:t>
      </w:r>
      <w:r>
        <w:rPr>
          <w:rStyle w:val="9"/>
          <w:rFonts w:ascii="仿宋_GB2312" w:hAnsi="仿宋_GB2312" w:eastAsia="仿宋_GB2312" w:cs="仿宋_GB2312"/>
          <w:b w:val="0"/>
          <w:bCs w:val="0"/>
          <w:spacing w:val="-4"/>
          <w:sz w:val="32"/>
          <w:szCs w:val="32"/>
        </w:rPr>
        <w:t>6</w:t>
      </w:r>
      <w:r>
        <w:rPr>
          <w:rStyle w:val="9"/>
          <w:rFonts w:hint="eastAsia" w:ascii="仿宋_GB2312" w:hAnsi="仿宋_GB2312" w:eastAsia="仿宋_GB2312" w:cs="仿宋_GB2312"/>
          <w:b w:val="0"/>
          <w:bCs w:val="0"/>
          <w:spacing w:val="-4"/>
          <w:sz w:val="32"/>
          <w:szCs w:val="32"/>
        </w:rPr>
        <w:t>个，完成</w:t>
      </w:r>
      <w:r>
        <w:rPr>
          <w:rStyle w:val="9"/>
          <w:rFonts w:ascii="仿宋_GB2312" w:hAnsi="仿宋_GB2312" w:eastAsia="仿宋_GB2312" w:cs="仿宋_GB2312"/>
          <w:b w:val="0"/>
          <w:bCs w:val="0"/>
          <w:spacing w:val="-4"/>
          <w:sz w:val="32"/>
          <w:szCs w:val="32"/>
        </w:rPr>
        <w:t>5</w:t>
      </w:r>
      <w:r>
        <w:rPr>
          <w:rStyle w:val="9"/>
          <w:rFonts w:hint="eastAsia" w:ascii="仿宋_GB2312" w:hAnsi="仿宋_GB2312" w:eastAsia="仿宋_GB2312" w:cs="仿宋_GB2312"/>
          <w:b w:val="0"/>
          <w:bCs w:val="0"/>
          <w:spacing w:val="-4"/>
          <w:sz w:val="32"/>
          <w:szCs w:val="32"/>
        </w:rPr>
        <w:t>个，达到成本控制及改善目标，成本指标完成。</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1.项目实施的经济效益分析</w:t>
      </w:r>
    </w:p>
    <w:p>
      <w:pPr>
        <w:pStyle w:val="12"/>
        <w:snapToGrid w:val="0"/>
        <w:spacing w:line="540" w:lineRule="exact"/>
        <w:ind w:firstLine="1248" w:firstLineChars="4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无此项指标</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2.项目实施的社会效益分析</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提升职工生活水平指标，预期指标是有效提升，实际完成值是有效提升，指标完成率是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社会效益指标共计</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个，完成</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个，达到单位履职能力对社会带来的影响预期目标，社会效益指标完成。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3.项目实施的生态效益分析</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改善生态环境情况指标，预期指标是有效改善，实际完成值是有效改善，指标完成率是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生态效益指标共计</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个，完成</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个，达到单位履职能力对社会带来的影响预期目标，生态效益指标完成。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4.项目实施的可持续影响分析</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保障本单位工作的正常运转指标，预期指标是有效保障，实际完成值是有效保障，指标完成率是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%，实现部门绩效长效机制建设，提高工作效率目标。</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可持续影响指标共计</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个，完成</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个，达到预期目标，可持续影响指标完成。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（三）满意度指标完成情况分析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受益群众满意度（%）指标，预期指标是大于等于</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97</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%，实际完成值是9</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7</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%，指标完成率是100%，达到部门（单位）服务对象对部门履职效果的满意度。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受益职工满意度（%）指标，预期指标是大于等于95%，实际完成值是96%，指标完成率是100%，达到部门（单位）服务对象对部门履职效果的满意度。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满意度指标共计2个，完成2个，达到部门（单位）服务对象对部门履职效果的满意度，服务对象满意度指标完成。</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6" w:name="_Toc22800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存在的主要问题</w:t>
      </w:r>
      <w:bookmarkEnd w:id="6"/>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7" w:name="_Toc295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改进措施和建议</w:t>
      </w:r>
      <w:bookmarkEnd w:id="7"/>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（一）改进措施</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加大绩效工作宣传力度，强化绩效理念。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完善绩效指标，提高整体绩效目标质量。提升预算精细化管理水平。</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继续完善预算绩效管理相关工作制度，建立全过程预算绩效管理链条，有效贯彻落实全面实施绩效管理的精神。</w:t>
      </w:r>
    </w:p>
    <w:p>
      <w:pPr>
        <w:pStyle w:val="12"/>
        <w:snapToGrid w:val="0"/>
        <w:spacing w:line="540" w:lineRule="exact"/>
        <w:ind w:firstLine="624"/>
        <w:outlineLvl w:val="1"/>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二）建议</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9"/>
          <w:rFonts w:ascii="仿宋_GB2312" w:hAnsi="仿宋_GB2312" w:eastAsia="仿宋_GB2312" w:cs="仿宋_GB2312"/>
          <w:b w:val="0"/>
          <w:color w:val="000000" w:themeColor="text1"/>
          <w:spacing w:val="-4"/>
          <w:sz w:val="32"/>
          <w:szCs w:val="32"/>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A372C"/>
    <w:rsid w:val="000C4E29"/>
    <w:rsid w:val="000D3AFA"/>
    <w:rsid w:val="000E1B81"/>
    <w:rsid w:val="000F7A19"/>
    <w:rsid w:val="0012092B"/>
    <w:rsid w:val="00141421"/>
    <w:rsid w:val="001436BA"/>
    <w:rsid w:val="001532D1"/>
    <w:rsid w:val="00191BA3"/>
    <w:rsid w:val="001C1E1D"/>
    <w:rsid w:val="001D7F79"/>
    <w:rsid w:val="001E750D"/>
    <w:rsid w:val="0022744B"/>
    <w:rsid w:val="00234372"/>
    <w:rsid w:val="00292A50"/>
    <w:rsid w:val="002939FF"/>
    <w:rsid w:val="002F7CCD"/>
    <w:rsid w:val="003F0DB2"/>
    <w:rsid w:val="00424A01"/>
    <w:rsid w:val="004918BA"/>
    <w:rsid w:val="00491D09"/>
    <w:rsid w:val="004E1483"/>
    <w:rsid w:val="0054132C"/>
    <w:rsid w:val="005519D7"/>
    <w:rsid w:val="00580BAA"/>
    <w:rsid w:val="00590FAD"/>
    <w:rsid w:val="005B1250"/>
    <w:rsid w:val="006258B7"/>
    <w:rsid w:val="00633862"/>
    <w:rsid w:val="006B4CDA"/>
    <w:rsid w:val="006C3959"/>
    <w:rsid w:val="006C5BED"/>
    <w:rsid w:val="006C5D3A"/>
    <w:rsid w:val="006D4FCD"/>
    <w:rsid w:val="006E5B50"/>
    <w:rsid w:val="006F7865"/>
    <w:rsid w:val="00702D4A"/>
    <w:rsid w:val="007115C8"/>
    <w:rsid w:val="00722C79"/>
    <w:rsid w:val="00724F4D"/>
    <w:rsid w:val="007925C0"/>
    <w:rsid w:val="007C4382"/>
    <w:rsid w:val="007D6A0D"/>
    <w:rsid w:val="007E7E99"/>
    <w:rsid w:val="00802CD4"/>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52BD0"/>
    <w:rsid w:val="00C532B7"/>
    <w:rsid w:val="00C77007"/>
    <w:rsid w:val="00CD2F35"/>
    <w:rsid w:val="00CD5A03"/>
    <w:rsid w:val="00D82401"/>
    <w:rsid w:val="00D9126A"/>
    <w:rsid w:val="00D93262"/>
    <w:rsid w:val="00DB1085"/>
    <w:rsid w:val="00E373E4"/>
    <w:rsid w:val="00E71EE9"/>
    <w:rsid w:val="00EB1FFE"/>
    <w:rsid w:val="00F326C7"/>
    <w:rsid w:val="00F84215"/>
    <w:rsid w:val="00FF2ACD"/>
    <w:rsid w:val="012008EE"/>
    <w:rsid w:val="013A5263"/>
    <w:rsid w:val="01CC583F"/>
    <w:rsid w:val="01DA23AF"/>
    <w:rsid w:val="036B45F0"/>
    <w:rsid w:val="04FF0482"/>
    <w:rsid w:val="05062887"/>
    <w:rsid w:val="05F70F85"/>
    <w:rsid w:val="084208C4"/>
    <w:rsid w:val="098A3C0A"/>
    <w:rsid w:val="09FB0B82"/>
    <w:rsid w:val="0A9A7091"/>
    <w:rsid w:val="0B671B1F"/>
    <w:rsid w:val="0D0E73B0"/>
    <w:rsid w:val="0EBC2A42"/>
    <w:rsid w:val="10FE60D7"/>
    <w:rsid w:val="1232289E"/>
    <w:rsid w:val="14D42C8D"/>
    <w:rsid w:val="151E31DD"/>
    <w:rsid w:val="175D58E3"/>
    <w:rsid w:val="18061B60"/>
    <w:rsid w:val="190C3DF8"/>
    <w:rsid w:val="19550115"/>
    <w:rsid w:val="19F83E30"/>
    <w:rsid w:val="1B403139"/>
    <w:rsid w:val="1C6D319F"/>
    <w:rsid w:val="1D022362"/>
    <w:rsid w:val="1D4D74D6"/>
    <w:rsid w:val="1D7B3CF2"/>
    <w:rsid w:val="1DE32CFD"/>
    <w:rsid w:val="1F1A602A"/>
    <w:rsid w:val="1F2854B6"/>
    <w:rsid w:val="21C768CD"/>
    <w:rsid w:val="226D4721"/>
    <w:rsid w:val="22776641"/>
    <w:rsid w:val="22E14253"/>
    <w:rsid w:val="23F209A3"/>
    <w:rsid w:val="2403516E"/>
    <w:rsid w:val="24EC7B7F"/>
    <w:rsid w:val="254C103E"/>
    <w:rsid w:val="256A2A9E"/>
    <w:rsid w:val="2805537E"/>
    <w:rsid w:val="281402C4"/>
    <w:rsid w:val="289437EE"/>
    <w:rsid w:val="28A55EB1"/>
    <w:rsid w:val="2D844050"/>
    <w:rsid w:val="2DCF10C5"/>
    <w:rsid w:val="2EBF757D"/>
    <w:rsid w:val="31B83F5F"/>
    <w:rsid w:val="3278012B"/>
    <w:rsid w:val="328E2AB6"/>
    <w:rsid w:val="329B12EA"/>
    <w:rsid w:val="332B3F69"/>
    <w:rsid w:val="335039CF"/>
    <w:rsid w:val="33884F17"/>
    <w:rsid w:val="33A83F87"/>
    <w:rsid w:val="34F62354"/>
    <w:rsid w:val="355C2B3F"/>
    <w:rsid w:val="35F12468"/>
    <w:rsid w:val="36851B5C"/>
    <w:rsid w:val="36E14B2F"/>
    <w:rsid w:val="37D360CA"/>
    <w:rsid w:val="385A7CD4"/>
    <w:rsid w:val="38CB5066"/>
    <w:rsid w:val="3925145A"/>
    <w:rsid w:val="3A632E5C"/>
    <w:rsid w:val="3D6A7D83"/>
    <w:rsid w:val="3F301058"/>
    <w:rsid w:val="410C46DA"/>
    <w:rsid w:val="417A34F9"/>
    <w:rsid w:val="418810F4"/>
    <w:rsid w:val="41A37673"/>
    <w:rsid w:val="42C30950"/>
    <w:rsid w:val="42DB3B29"/>
    <w:rsid w:val="44705C7F"/>
    <w:rsid w:val="45A65C7F"/>
    <w:rsid w:val="468C2A4A"/>
    <w:rsid w:val="46AD2493"/>
    <w:rsid w:val="46EC7F14"/>
    <w:rsid w:val="4851401A"/>
    <w:rsid w:val="48AF4C7F"/>
    <w:rsid w:val="4A097F8F"/>
    <w:rsid w:val="4A81677A"/>
    <w:rsid w:val="4B7705C0"/>
    <w:rsid w:val="4DA177B2"/>
    <w:rsid w:val="4DF36D4F"/>
    <w:rsid w:val="501B7C76"/>
    <w:rsid w:val="504D5CCF"/>
    <w:rsid w:val="5095081C"/>
    <w:rsid w:val="527A0FA8"/>
    <w:rsid w:val="528128D3"/>
    <w:rsid w:val="533A7469"/>
    <w:rsid w:val="53526129"/>
    <w:rsid w:val="54CC15A0"/>
    <w:rsid w:val="54DB173D"/>
    <w:rsid w:val="565F61A9"/>
    <w:rsid w:val="57232FC4"/>
    <w:rsid w:val="572D2326"/>
    <w:rsid w:val="57365691"/>
    <w:rsid w:val="58337298"/>
    <w:rsid w:val="59EE1E48"/>
    <w:rsid w:val="5A470DD9"/>
    <w:rsid w:val="5A490F5C"/>
    <w:rsid w:val="5B0843D4"/>
    <w:rsid w:val="5BD21464"/>
    <w:rsid w:val="5BDE2B83"/>
    <w:rsid w:val="611B6B1B"/>
    <w:rsid w:val="61635F72"/>
    <w:rsid w:val="618606C5"/>
    <w:rsid w:val="62797F9D"/>
    <w:rsid w:val="63E114D3"/>
    <w:rsid w:val="6848469A"/>
    <w:rsid w:val="6A0B0D54"/>
    <w:rsid w:val="6AD46D46"/>
    <w:rsid w:val="6DE07909"/>
    <w:rsid w:val="6E58438A"/>
    <w:rsid w:val="6E9D5508"/>
    <w:rsid w:val="6FA3087E"/>
    <w:rsid w:val="71EB22B3"/>
    <w:rsid w:val="72010FA6"/>
    <w:rsid w:val="73E15BCA"/>
    <w:rsid w:val="748A4F72"/>
    <w:rsid w:val="75664078"/>
    <w:rsid w:val="761E4132"/>
    <w:rsid w:val="767E572A"/>
    <w:rsid w:val="78061A79"/>
    <w:rsid w:val="79C54B4F"/>
    <w:rsid w:val="79CE0777"/>
    <w:rsid w:val="7B173346"/>
    <w:rsid w:val="7BC003CA"/>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8"/>
    <w:link w:val="6"/>
    <w:qFormat/>
    <w:uiPriority w:val="99"/>
    <w:rPr>
      <w:sz w:val="18"/>
      <w:szCs w:val="18"/>
    </w:rPr>
  </w:style>
  <w:style w:type="character" w:customStyle="1" w:styleId="14">
    <w:name w:val="页眉 字符"/>
    <w:basedOn w:val="8"/>
    <w:link w:val="7"/>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 w:type="paragraph" w:styleId="18">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1310</Words>
  <Characters>7473</Characters>
  <Lines>62</Lines>
  <Paragraphs>17</Paragraphs>
  <TotalTime>69</TotalTime>
  <ScaleCrop>false</ScaleCrop>
  <LinksUpToDate>false</LinksUpToDate>
  <CharactersWithSpaces>8766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2023-12-15T12:54:03Z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E64D31AD00C24755A6E606F274242E4D</vt:lpwstr>
  </property>
</Properties>
</file>